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43F" w:rsidRDefault="008D28C0">
      <w:pPr>
        <w:pStyle w:val="Ttulo1"/>
      </w:pPr>
      <w:bookmarkStart w:id="0" w:name="X5f4d7905bd9f5d3932cee59afbaa752b9ef03b6"/>
      <w:r>
        <w:t>Gluconato de zinc tópico en formulación magistral</w:t>
      </w:r>
    </w:p>
    <w:p w:rsidR="00C9243F" w:rsidRDefault="008D28C0">
      <w:pPr>
        <w:pStyle w:val="Ttulo2"/>
      </w:pPr>
      <w:bookmarkStart w:id="1" w:name="X43554e550fcad71a2607302798afa280a1224ea"/>
      <w:r>
        <w:t xml:space="preserve">Uso antiseborreico y antiacné. </w:t>
      </w:r>
      <w:proofErr w:type="spellStart"/>
      <w:r>
        <w:t>Revisión</w:t>
      </w:r>
      <w:proofErr w:type="spellEnd"/>
      <w:r>
        <w:t>.</w:t>
      </w:r>
    </w:p>
    <w:p w:rsidR="00C9243F" w:rsidRDefault="008D28C0">
      <w:pPr>
        <w:pStyle w:val="Ttulo3"/>
      </w:pPr>
      <w:bookmarkStart w:id="2" w:name="introducción"/>
      <w:r>
        <w:t>Introducción</w:t>
      </w:r>
    </w:p>
    <w:p w:rsidR="00C9243F" w:rsidRDefault="008D28C0">
      <w:pPr>
        <w:pStyle w:val="FirstParagraph"/>
      </w:pPr>
      <w:r>
        <w:t>El zinc es un oligoelemento esencial con un rol bien establecido en la fisiología cutánea, participando en la regulación de la queratinización, la respuesta inflamatoria, la inmunidad innata y la actividad de las glándulas sebáceas. En dermatología, distintas sales de zinc han sido empleadas históricamente por vía tópica y sistémica para el tratamiento de acné vulgar, dermatitis seborreica, eccemas y procesos inflamatorios leves.</w:t>
      </w:r>
    </w:p>
    <w:p w:rsidR="00C9243F" w:rsidRDefault="008D28C0">
      <w:pPr>
        <w:pStyle w:val="Textoindependiente"/>
      </w:pPr>
      <w:r>
        <w:t xml:space="preserve">El </w:t>
      </w:r>
      <w:r>
        <w:rPr>
          <w:b/>
          <w:bCs/>
        </w:rPr>
        <w:t>gluconato de zinc</w:t>
      </w:r>
      <w:r>
        <w:t xml:space="preserve">, sal orgánica altamente soluble en agua, se utiliza ampliamente por vía oral y en formulaciones cosméticas y dermatológicas. Sin embargo, su empleo en </w:t>
      </w:r>
      <w:r>
        <w:rPr>
          <w:b/>
          <w:bCs/>
        </w:rPr>
        <w:t>formulación magistral tópica con indicación antiseborreica y antiacné</w:t>
      </w:r>
      <w:r>
        <w:t xml:space="preserve"> requiere un análisis cuidadoso de la evidencia disponible, dado que la literatura científica raramente publica fórmulas magistrales estandarizadas reproducibles.</w:t>
      </w:r>
    </w:p>
    <w:p w:rsidR="00C9243F" w:rsidRDefault="008D28C0">
      <w:pPr>
        <w:pStyle w:val="Textoindependiente"/>
      </w:pPr>
      <w:r>
        <w:t xml:space="preserve">Este artículo está dirigido a </w:t>
      </w:r>
      <w:r>
        <w:rPr>
          <w:b/>
          <w:bCs/>
        </w:rPr>
        <w:t>profesionales farmacéuticos</w:t>
      </w:r>
      <w:r>
        <w:t xml:space="preserve">, con el objetivo de revisar críticamente la evidencia científica sobre el gluconato de zinc tópico, su racional farmacológico, </w:t>
      </w:r>
      <w:proofErr w:type="spellStart"/>
      <w:r>
        <w:t>consideraciones</w:t>
      </w:r>
      <w:proofErr w:type="spellEnd"/>
      <w:r>
        <w:t xml:space="preserve"> </w:t>
      </w:r>
      <w:proofErr w:type="spellStart"/>
      <w:r>
        <w:t>galénicas</w:t>
      </w:r>
      <w:proofErr w:type="spellEnd"/>
      <w:r>
        <w:t xml:space="preserve"> y </w:t>
      </w:r>
      <w:proofErr w:type="spellStart"/>
      <w:r>
        <w:t>ejemplos</w:t>
      </w:r>
      <w:proofErr w:type="spellEnd"/>
      <w:r>
        <w:t xml:space="preserve"> de </w:t>
      </w:r>
      <w:proofErr w:type="spellStart"/>
      <w:r>
        <w:t>formulaciones</w:t>
      </w:r>
      <w:proofErr w:type="spellEnd"/>
      <w:r>
        <w:t xml:space="preserve"> </w:t>
      </w:r>
      <w:proofErr w:type="spellStart"/>
      <w:r>
        <w:rPr>
          <w:b/>
          <w:bCs/>
        </w:rPr>
        <w:t>orientativas</w:t>
      </w:r>
      <w:proofErr w:type="spellEnd"/>
      <w:r w:rsidR="009C4992">
        <w:t>.</w:t>
      </w:r>
    </w:p>
    <w:p w:rsidR="00C9243F" w:rsidRDefault="0087156B">
      <w:r>
        <w:pict>
          <v:rect id="_x0000_i1025" style="width:0;height:1.5pt" o:hralign="center" o:hrstd="t" o:hr="t"/>
        </w:pict>
      </w:r>
    </w:p>
    <w:p w:rsidR="00C9243F" w:rsidRDefault="008D28C0">
      <w:pPr>
        <w:pStyle w:val="Ttulo2"/>
      </w:pPr>
      <w:bookmarkStart w:id="3" w:name="bases-fisiopatológicas-del-zinc-en-piel"/>
      <w:bookmarkEnd w:id="1"/>
      <w:bookmarkEnd w:id="2"/>
      <w:r>
        <w:t>Bases fisiopatológicas del zinc en piel</w:t>
      </w:r>
    </w:p>
    <w:p w:rsidR="00C9243F" w:rsidRDefault="008D28C0">
      <w:pPr>
        <w:pStyle w:val="FirstParagraph"/>
      </w:pPr>
      <w:r>
        <w:t>El zinc interviene en múltiples procesos cutáneos relevantes para el acné y la seborrea:</w:t>
      </w:r>
    </w:p>
    <w:p w:rsidR="00C9243F" w:rsidRDefault="008D28C0">
      <w:pPr>
        <w:pStyle w:val="Compact"/>
        <w:numPr>
          <w:ilvl w:val="0"/>
          <w:numId w:val="2"/>
        </w:numPr>
      </w:pPr>
      <w:r>
        <w:t xml:space="preserve">Modulación de la actividad de las </w:t>
      </w:r>
      <w:r>
        <w:rPr>
          <w:b/>
          <w:bCs/>
        </w:rPr>
        <w:t>glándulas sebáceas</w:t>
      </w:r>
      <w:r>
        <w:t xml:space="preserve"> y del metabolismo androgénico local.</w:t>
      </w:r>
    </w:p>
    <w:p w:rsidR="00C9243F" w:rsidRDefault="008D28C0">
      <w:pPr>
        <w:pStyle w:val="Compact"/>
        <w:numPr>
          <w:ilvl w:val="0"/>
          <w:numId w:val="2"/>
        </w:numPr>
      </w:pPr>
      <w:r>
        <w:t>Inhibición de la quimiotaxis de neutrófilos y reducción de citocinas proinflamatorias (IL‑1, IL‑6, TNF‑α).</w:t>
      </w:r>
    </w:p>
    <w:p w:rsidR="00C9243F" w:rsidRDefault="008D28C0">
      <w:pPr>
        <w:pStyle w:val="Compact"/>
        <w:numPr>
          <w:ilvl w:val="0"/>
          <w:numId w:val="2"/>
        </w:numPr>
      </w:pPr>
      <w:r>
        <w:t xml:space="preserve">Actividad antimicrobiana frente a </w:t>
      </w:r>
      <w:r>
        <w:rPr>
          <w:i/>
          <w:iCs/>
        </w:rPr>
        <w:t>Cutibacterium acnes</w:t>
      </w:r>
      <w:r>
        <w:t xml:space="preserve"> y, de forma indirecta, frente a </w:t>
      </w:r>
      <w:r>
        <w:rPr>
          <w:i/>
          <w:iCs/>
        </w:rPr>
        <w:t>Malassezia spp.</w:t>
      </w:r>
    </w:p>
    <w:p w:rsidR="00C9243F" w:rsidRDefault="008D28C0">
      <w:pPr>
        <w:pStyle w:val="Compact"/>
        <w:numPr>
          <w:ilvl w:val="0"/>
          <w:numId w:val="2"/>
        </w:numPr>
      </w:pPr>
      <w:r>
        <w:t>Regulación de la proliferación y diferenciación de queratinocitos.</w:t>
      </w:r>
    </w:p>
    <w:p w:rsidR="00C9243F" w:rsidRDefault="008D28C0">
      <w:pPr>
        <w:pStyle w:val="FirstParagraph"/>
      </w:pPr>
      <w:r>
        <w:t>Estos mecanismos han sido descritos para el zinc como elemento y para diversas sales (óxido, sulfato, gluconato, piritionato), aunque no todas cuentan con el mismo nivel de evidencia clínica para uso tópico.</w:t>
      </w:r>
    </w:p>
    <w:p w:rsidR="00C9243F" w:rsidRDefault="0087156B">
      <w:r>
        <w:pict>
          <v:rect id="_x0000_i1026" style="width:0;height:1.5pt" o:hralign="center" o:hrstd="t" o:hr="t"/>
        </w:pict>
      </w:r>
    </w:p>
    <w:p w:rsidR="00C9243F" w:rsidRDefault="008D28C0">
      <w:pPr>
        <w:pStyle w:val="Ttulo2"/>
      </w:pPr>
      <w:bookmarkStart w:id="4" w:name="X44422f0666123e2f5443d0f7f5c74a5cc00d4b6"/>
      <w:bookmarkEnd w:id="3"/>
      <w:r>
        <w:lastRenderedPageBreak/>
        <w:t>Evidencia científica del gluconato de zinc en dermatología</w:t>
      </w:r>
    </w:p>
    <w:p w:rsidR="00C9243F" w:rsidRDefault="008D28C0">
      <w:pPr>
        <w:pStyle w:val="Ttulo3"/>
      </w:pPr>
      <w:bookmarkStart w:id="5" w:name="acné-vulgar"/>
      <w:r>
        <w:t>Acné vulgar</w:t>
      </w:r>
    </w:p>
    <w:p w:rsidR="00C9243F" w:rsidRDefault="008D28C0">
      <w:pPr>
        <w:pStyle w:val="FirstParagraph"/>
      </w:pPr>
      <w:r>
        <w:t xml:space="preserve">La evidencia clínica más sólida del gluconato de zinc corresponde al </w:t>
      </w:r>
      <w:r>
        <w:rPr>
          <w:b/>
          <w:bCs/>
        </w:rPr>
        <w:t>uso oral</w:t>
      </w:r>
      <w:r>
        <w:t xml:space="preserve"> en acné inflamatorio leve a moderado. Estudios clínicos y revisiones muestran reducción de lesiones inflamatorias, atribuida a efectos antiinflamatorios y antibacterianos.</w:t>
      </w:r>
    </w:p>
    <w:p w:rsidR="00C9243F" w:rsidRDefault="008D28C0">
      <w:pPr>
        <w:pStyle w:val="Textoindependiente"/>
      </w:pPr>
      <w:r>
        <w:t xml:space="preserve">En cuanto al </w:t>
      </w:r>
      <w:r>
        <w:rPr>
          <w:b/>
          <w:bCs/>
        </w:rPr>
        <w:t>uso tópico</w:t>
      </w:r>
      <w:r>
        <w:t xml:space="preserve">, las revisiones dermatológicas incluyen al gluconato de zinc dentro de las sales </w:t>
      </w:r>
      <w:proofErr w:type="spellStart"/>
      <w:r>
        <w:t>potencialmente</w:t>
      </w:r>
      <w:proofErr w:type="spellEnd"/>
      <w:r>
        <w:t xml:space="preserve"> </w:t>
      </w:r>
      <w:proofErr w:type="spellStart"/>
      <w:r>
        <w:t>útiles</w:t>
      </w:r>
      <w:proofErr w:type="spellEnd"/>
      <w:r>
        <w:t xml:space="preserve">, </w:t>
      </w:r>
      <w:proofErr w:type="spellStart"/>
      <w:r>
        <w:t>aunque</w:t>
      </w:r>
      <w:proofErr w:type="spellEnd"/>
      <w:r>
        <w:t xml:space="preserve"> la </w:t>
      </w:r>
      <w:proofErr w:type="spellStart"/>
      <w:r>
        <w:t>evidencia</w:t>
      </w:r>
      <w:proofErr w:type="spellEnd"/>
      <w:r>
        <w:t xml:space="preserve"> es de </w:t>
      </w:r>
      <w:proofErr w:type="spellStart"/>
      <w:r>
        <w:t>calidad</w:t>
      </w:r>
      <w:proofErr w:type="spellEnd"/>
      <w:r>
        <w:t xml:space="preserve"> moderada.</w:t>
      </w:r>
    </w:p>
    <w:p w:rsidR="00C9243F" w:rsidRDefault="008D28C0">
      <w:pPr>
        <w:pStyle w:val="Ttulo3"/>
      </w:pPr>
      <w:bookmarkStart w:id="6" w:name="seborrea-y-dermatitis-seborreica"/>
      <w:bookmarkEnd w:id="5"/>
      <w:r>
        <w:t>Seborrea y dermatitis seborreica</w:t>
      </w:r>
    </w:p>
    <w:p w:rsidR="00C9243F" w:rsidRDefault="008D28C0">
      <w:pPr>
        <w:pStyle w:val="FirstParagraph"/>
      </w:pPr>
      <w:r>
        <w:t>Los efectos seborreguladores del zinc se han documentado principalmente con otras sales (zinc piritiona, sulfato de zinc). No obstante, revisiones fisiopatológicas indican que el zinc, independientemente de la sal, puede modular la actividad sebácea y ejercer un efecto calmante y antiinflamatorio en piel seborreica.</w:t>
      </w:r>
    </w:p>
    <w:p w:rsidR="00C9243F" w:rsidRDefault="0087156B">
      <w:r>
        <w:pict>
          <v:rect id="_x0000_i1027" style="width:0;height:1.5pt" o:hralign="center" o:hrstd="t" o:hr="t"/>
        </w:pict>
      </w:r>
    </w:p>
    <w:p w:rsidR="00C9243F" w:rsidRDefault="008D28C0">
      <w:pPr>
        <w:pStyle w:val="Ttulo2"/>
      </w:pPr>
      <w:bookmarkStart w:id="7" w:name="X40d175337f130a44dde9d54a22ffb6e8576aa5a"/>
      <w:bookmarkEnd w:id="4"/>
      <w:bookmarkEnd w:id="6"/>
      <w:proofErr w:type="spellStart"/>
      <w:r>
        <w:t>Consideraciones</w:t>
      </w:r>
      <w:proofErr w:type="spellEnd"/>
      <w:r>
        <w:t xml:space="preserve"> </w:t>
      </w:r>
      <w:proofErr w:type="spellStart"/>
      <w:r>
        <w:t>galénicas</w:t>
      </w:r>
      <w:proofErr w:type="spellEnd"/>
      <w:r>
        <w:t xml:space="preserve"> del </w:t>
      </w:r>
      <w:proofErr w:type="spellStart"/>
      <w:r>
        <w:t>gluconato</w:t>
      </w:r>
      <w:proofErr w:type="spellEnd"/>
      <w:r>
        <w:t xml:space="preserve"> de zinc</w:t>
      </w:r>
    </w:p>
    <w:p w:rsidR="00C9243F" w:rsidRDefault="008D28C0">
      <w:pPr>
        <w:pStyle w:val="Compact"/>
        <w:numPr>
          <w:ilvl w:val="0"/>
          <w:numId w:val="4"/>
        </w:numPr>
      </w:pPr>
      <w:r>
        <w:rPr>
          <w:b/>
          <w:bCs/>
        </w:rPr>
        <w:t>Solubilidad</w:t>
      </w:r>
      <w:r>
        <w:t>: soluble en agua.</w:t>
      </w:r>
    </w:p>
    <w:p w:rsidR="00C9243F" w:rsidRDefault="008D28C0">
      <w:pPr>
        <w:pStyle w:val="Compact"/>
        <w:numPr>
          <w:ilvl w:val="0"/>
          <w:numId w:val="4"/>
        </w:numPr>
      </w:pPr>
      <w:r>
        <w:rPr>
          <w:b/>
          <w:bCs/>
        </w:rPr>
        <w:t>pH de estabilidad</w:t>
      </w:r>
      <w:r>
        <w:t>: aproximadamente entre 5,0 y 7,0.</w:t>
      </w:r>
    </w:p>
    <w:p w:rsidR="00C9243F" w:rsidRDefault="008D28C0">
      <w:pPr>
        <w:pStyle w:val="Compact"/>
        <w:numPr>
          <w:ilvl w:val="0"/>
          <w:numId w:val="4"/>
        </w:numPr>
      </w:pPr>
      <w:r>
        <w:rPr>
          <w:b/>
          <w:bCs/>
        </w:rPr>
        <w:t>Compatibilidad</w:t>
      </w:r>
      <w:r>
        <w:t>: puede presentar interacciones con agentes quelantes fuertes y con pH muy ácido.</w:t>
      </w:r>
    </w:p>
    <w:p w:rsidR="00C9243F" w:rsidRDefault="008D28C0">
      <w:pPr>
        <w:pStyle w:val="Compact"/>
        <w:numPr>
          <w:ilvl w:val="0"/>
          <w:numId w:val="4"/>
        </w:numPr>
      </w:pPr>
      <w:r>
        <w:rPr>
          <w:b/>
          <w:bCs/>
        </w:rPr>
        <w:t>Tolerancia cutánea</w:t>
      </w:r>
      <w:r>
        <w:t>: generalmente buena; posible sensación transitoria de ardor en piel sensible.</w:t>
      </w:r>
    </w:p>
    <w:p w:rsidR="00C9243F" w:rsidRDefault="008D28C0">
      <w:pPr>
        <w:pStyle w:val="Compact"/>
        <w:numPr>
          <w:ilvl w:val="0"/>
          <w:numId w:val="4"/>
        </w:numPr>
      </w:pPr>
      <w:r>
        <w:rPr>
          <w:b/>
          <w:bCs/>
        </w:rPr>
        <w:t>Vehículos preferidos</w:t>
      </w:r>
      <w:r>
        <w:t>: geles acuosos, lociones, emulsiones O/W no comedogénicas.</w:t>
      </w:r>
    </w:p>
    <w:p w:rsidR="00C9243F" w:rsidRDefault="0087156B">
      <w:r>
        <w:pict>
          <v:rect id="_x0000_i1028" style="width:0;height:1.5pt" o:hralign="center" o:hrstd="t" o:hr="t"/>
        </w:pict>
      </w:r>
    </w:p>
    <w:p w:rsidR="00C9243F" w:rsidRDefault="008D28C0">
      <w:pPr>
        <w:pStyle w:val="Ttulo2"/>
      </w:pPr>
      <w:bookmarkStart w:id="8" w:name="formulaciones-orientativas-no-oficiales"/>
      <w:bookmarkEnd w:id="7"/>
      <w:r>
        <w:t xml:space="preserve">Formulaciones orientativas </w:t>
      </w:r>
    </w:p>
    <w:p w:rsidR="00C9243F" w:rsidRDefault="008D28C0">
      <w:pPr>
        <w:pStyle w:val="Textodebloque"/>
      </w:pPr>
      <w:r>
        <w:rPr>
          <w:b/>
          <w:bCs/>
        </w:rPr>
        <w:t>Advertencia</w:t>
      </w:r>
      <w:r>
        <w:t>: las siguientes formulaciones son ejemplos orientativos de práctica farmacéutica, elaborados a partir de principios galénicos y evidencia indirecta. No corresponden a fórmulas magistrales publicadas ni validadas clínicamente.</w:t>
      </w:r>
    </w:p>
    <w:p w:rsidR="00C9243F" w:rsidRDefault="008D28C0">
      <w:pPr>
        <w:pStyle w:val="Ttulo3"/>
      </w:pPr>
      <w:bookmarkStart w:id="9" w:name="gel-tópico-seborregulador"/>
      <w:r>
        <w:t xml:space="preserve">1. Gel </w:t>
      </w:r>
      <w:proofErr w:type="spellStart"/>
      <w:r>
        <w:t>tópico</w:t>
      </w:r>
      <w:proofErr w:type="spellEnd"/>
      <w:r>
        <w:t xml:space="preserve"> </w:t>
      </w:r>
      <w:proofErr w:type="spellStart"/>
      <w:r>
        <w:t>seborregulador</w:t>
      </w:r>
      <w:proofErr w:type="spellEnd"/>
    </w:p>
    <w:tbl>
      <w:tblPr>
        <w:tblStyle w:val="Tablaconcuadrcula2-nfasis4"/>
        <w:tblW w:w="0" w:type="auto"/>
        <w:jc w:val="center"/>
        <w:tblBorders>
          <w:top w:val="single" w:sz="4" w:space="0" w:color="auto"/>
          <w:left w:val="single" w:sz="4" w:space="0" w:color="auto"/>
          <w:bottom w:val="single" w:sz="4" w:space="0" w:color="auto"/>
          <w:right w:val="single" w:sz="4" w:space="0" w:color="auto"/>
        </w:tblBorders>
        <w:tblLook w:val="0400" w:firstRow="0" w:lastRow="0" w:firstColumn="0" w:lastColumn="0" w:noHBand="0" w:noVBand="1"/>
      </w:tblPr>
      <w:tblGrid>
        <w:gridCol w:w="4489"/>
        <w:gridCol w:w="1715"/>
      </w:tblGrid>
      <w:tr w:rsidR="009C4992"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9C4992" w:rsidRDefault="009C4992" w:rsidP="009C4992">
            <w:pPr>
              <w:pStyle w:val="Textoindependiente"/>
            </w:pPr>
            <w:proofErr w:type="spellStart"/>
            <w:r>
              <w:t>Gluconato</w:t>
            </w:r>
            <w:proofErr w:type="spellEnd"/>
            <w:r>
              <w:t xml:space="preserve"> de zinc</w:t>
            </w:r>
          </w:p>
        </w:tc>
        <w:tc>
          <w:tcPr>
            <w:tcW w:w="1715" w:type="dxa"/>
          </w:tcPr>
          <w:p w:rsidR="009C4992" w:rsidRDefault="009C4992" w:rsidP="009C4992">
            <w:pPr>
              <w:pStyle w:val="Textoindependiente"/>
            </w:pPr>
            <w:r>
              <w:t>0.5 – 1 %</w:t>
            </w:r>
          </w:p>
        </w:tc>
      </w:tr>
      <w:tr w:rsidR="009C4992" w:rsidTr="008D28C0">
        <w:trPr>
          <w:jc w:val="center"/>
        </w:trPr>
        <w:tc>
          <w:tcPr>
            <w:tcW w:w="4489" w:type="dxa"/>
          </w:tcPr>
          <w:p w:rsidR="009C4992" w:rsidRDefault="009C4992" w:rsidP="009C4992">
            <w:pPr>
              <w:pStyle w:val="Textoindependiente"/>
            </w:pPr>
            <w:proofErr w:type="spellStart"/>
            <w:r>
              <w:t>Glicerina</w:t>
            </w:r>
            <w:proofErr w:type="spellEnd"/>
          </w:p>
        </w:tc>
        <w:tc>
          <w:tcPr>
            <w:tcW w:w="1715" w:type="dxa"/>
          </w:tcPr>
          <w:p w:rsidR="009C4992" w:rsidRDefault="009C4992" w:rsidP="009C4992">
            <w:pPr>
              <w:pStyle w:val="Textoindependiente"/>
            </w:pPr>
            <w:r>
              <w:t>3%</w:t>
            </w:r>
          </w:p>
        </w:tc>
      </w:tr>
      <w:tr w:rsidR="009C4992"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9C4992" w:rsidRDefault="009C4992" w:rsidP="009C4992">
            <w:pPr>
              <w:pStyle w:val="Textoindependiente"/>
            </w:pPr>
            <w:r>
              <w:t xml:space="preserve">Agua </w:t>
            </w:r>
            <w:proofErr w:type="spellStart"/>
            <w:r>
              <w:t>purificada</w:t>
            </w:r>
            <w:proofErr w:type="spellEnd"/>
          </w:p>
        </w:tc>
        <w:tc>
          <w:tcPr>
            <w:tcW w:w="1715" w:type="dxa"/>
          </w:tcPr>
          <w:p w:rsidR="009C4992" w:rsidRDefault="009C4992" w:rsidP="009C4992">
            <w:pPr>
              <w:pStyle w:val="Textoindependiente"/>
            </w:pPr>
            <w:r>
              <w:t>10%</w:t>
            </w:r>
          </w:p>
        </w:tc>
      </w:tr>
      <w:tr w:rsidR="009C4992" w:rsidTr="008D28C0">
        <w:trPr>
          <w:jc w:val="center"/>
        </w:trPr>
        <w:tc>
          <w:tcPr>
            <w:tcW w:w="4489" w:type="dxa"/>
          </w:tcPr>
          <w:p w:rsidR="009C4992" w:rsidRDefault="009C4992" w:rsidP="009C4992">
            <w:pPr>
              <w:pStyle w:val="Textoindependiente"/>
            </w:pPr>
            <w:r>
              <w:lastRenderedPageBreak/>
              <w:t xml:space="preserve">Gel base (Carbopol o HEC) </w:t>
            </w:r>
            <w:proofErr w:type="spellStart"/>
            <w:r>
              <w:t>csp</w:t>
            </w:r>
            <w:proofErr w:type="spellEnd"/>
          </w:p>
        </w:tc>
        <w:tc>
          <w:tcPr>
            <w:tcW w:w="1715" w:type="dxa"/>
          </w:tcPr>
          <w:p w:rsidR="009C4992" w:rsidRDefault="009C4992" w:rsidP="009C4992">
            <w:pPr>
              <w:pStyle w:val="Textoindependiente"/>
            </w:pPr>
            <w:r>
              <w:t>100%</w:t>
            </w:r>
          </w:p>
        </w:tc>
      </w:tr>
    </w:tbl>
    <w:p w:rsidR="009C4992" w:rsidRPr="009C4992" w:rsidRDefault="009C4992" w:rsidP="009C4992">
      <w:pPr>
        <w:pStyle w:val="Textoindependiente"/>
      </w:pPr>
    </w:p>
    <w:p w:rsidR="00C9243F" w:rsidRDefault="00C11584">
      <w:pPr>
        <w:pStyle w:val="FirstParagraph"/>
      </w:pPr>
      <w:proofErr w:type="spellStart"/>
      <w:r>
        <w:rPr>
          <w:b/>
          <w:bCs/>
        </w:rPr>
        <w:t>Fundamento</w:t>
      </w:r>
      <w:proofErr w:type="spellEnd"/>
      <w:r>
        <w:rPr>
          <w:b/>
          <w:bCs/>
        </w:rPr>
        <w:t xml:space="preserve"> </w:t>
      </w:r>
      <w:proofErr w:type="spellStart"/>
      <w:r>
        <w:rPr>
          <w:b/>
          <w:bCs/>
        </w:rPr>
        <w:t>galénico</w:t>
      </w:r>
      <w:proofErr w:type="spellEnd"/>
      <w:r w:rsidR="008D28C0">
        <w:t xml:space="preserve">: </w:t>
      </w:r>
      <w:proofErr w:type="spellStart"/>
      <w:r>
        <w:t>V</w:t>
      </w:r>
      <w:r w:rsidR="008D28C0">
        <w:t>ehículo</w:t>
      </w:r>
      <w:proofErr w:type="spellEnd"/>
      <w:r w:rsidR="008D28C0">
        <w:t xml:space="preserve"> </w:t>
      </w:r>
      <w:proofErr w:type="spellStart"/>
      <w:r w:rsidR="008D28C0">
        <w:t>acuoso</w:t>
      </w:r>
      <w:proofErr w:type="spellEnd"/>
      <w:r w:rsidR="008D28C0">
        <w:t xml:space="preserve">, no </w:t>
      </w:r>
      <w:proofErr w:type="spellStart"/>
      <w:r w:rsidR="008D28C0">
        <w:t>comedogénico</w:t>
      </w:r>
      <w:proofErr w:type="spellEnd"/>
      <w:r w:rsidR="008D28C0">
        <w:t xml:space="preserve">, </w:t>
      </w:r>
      <w:proofErr w:type="spellStart"/>
      <w:r w:rsidR="008D28C0">
        <w:t>adecuado</w:t>
      </w:r>
      <w:proofErr w:type="spellEnd"/>
      <w:r w:rsidR="008D28C0">
        <w:t xml:space="preserve"> para </w:t>
      </w:r>
      <w:proofErr w:type="spellStart"/>
      <w:r w:rsidR="008D28C0">
        <w:t>piel</w:t>
      </w:r>
      <w:proofErr w:type="spellEnd"/>
      <w:r w:rsidR="008D28C0">
        <w:t xml:space="preserve"> grasa. La concentración se basa en rangos utilizados en cosmética dermatológica y revisiones clínicas.</w:t>
      </w:r>
    </w:p>
    <w:p w:rsidR="00C9243F" w:rsidRDefault="0087156B">
      <w:r>
        <w:pict>
          <v:rect id="_x0000_i1029" style="width:0;height:1.5pt" o:hralign="center" o:hrstd="t" o:hr="t"/>
        </w:pict>
      </w:r>
    </w:p>
    <w:p w:rsidR="00C9243F" w:rsidRDefault="008D28C0">
      <w:pPr>
        <w:pStyle w:val="Ttulo3"/>
      </w:pPr>
      <w:bookmarkStart w:id="10" w:name="emulsión-ow-antiacné-leve"/>
      <w:bookmarkEnd w:id="9"/>
      <w:r>
        <w:t>2. Emulsión O/W antiacné leve</w:t>
      </w:r>
    </w:p>
    <w:p w:rsidR="00C9243F" w:rsidRDefault="00C9243F" w:rsidP="00C11584">
      <w:pPr>
        <w:pStyle w:val="Compact"/>
        <w:ind w:left="720"/>
      </w:pPr>
    </w:p>
    <w:tbl>
      <w:tblPr>
        <w:tblStyle w:val="Tablaconcuadrcula2-nfasis4"/>
        <w:tblW w:w="0" w:type="auto"/>
        <w:jc w:val="center"/>
        <w:tblBorders>
          <w:top w:val="single" w:sz="4" w:space="0" w:color="auto"/>
          <w:left w:val="single" w:sz="4" w:space="0" w:color="auto"/>
          <w:bottom w:val="single" w:sz="4" w:space="0" w:color="auto"/>
          <w:right w:val="single" w:sz="4" w:space="0" w:color="auto"/>
        </w:tblBorders>
        <w:tblLook w:val="0400" w:firstRow="0" w:lastRow="0" w:firstColumn="0" w:lastColumn="0" w:noHBand="0" w:noVBand="1"/>
      </w:tblPr>
      <w:tblGrid>
        <w:gridCol w:w="4489"/>
        <w:gridCol w:w="1715"/>
      </w:tblGrid>
      <w:tr w:rsidR="00C11584"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C11584" w:rsidRDefault="00C11584" w:rsidP="008D28C0">
            <w:pPr>
              <w:pStyle w:val="Textoindependiente"/>
            </w:pPr>
            <w:proofErr w:type="spellStart"/>
            <w:r>
              <w:t>Gluconato</w:t>
            </w:r>
            <w:proofErr w:type="spellEnd"/>
            <w:r>
              <w:t xml:space="preserve"> de zinc</w:t>
            </w:r>
          </w:p>
        </w:tc>
        <w:tc>
          <w:tcPr>
            <w:tcW w:w="1715" w:type="dxa"/>
          </w:tcPr>
          <w:p w:rsidR="00C11584" w:rsidRDefault="00C11584" w:rsidP="00794896">
            <w:pPr>
              <w:pStyle w:val="Textoindependiente"/>
            </w:pPr>
            <w:r>
              <w:t>0.5 – 1 %</w:t>
            </w:r>
          </w:p>
        </w:tc>
      </w:tr>
      <w:tr w:rsidR="00C11584" w:rsidTr="008D28C0">
        <w:trPr>
          <w:jc w:val="center"/>
        </w:trPr>
        <w:tc>
          <w:tcPr>
            <w:tcW w:w="4489" w:type="dxa"/>
          </w:tcPr>
          <w:p w:rsidR="00C11584" w:rsidRDefault="00C11584" w:rsidP="008D28C0">
            <w:pPr>
              <w:pStyle w:val="Textoindependiente"/>
            </w:pPr>
            <w:proofErr w:type="spellStart"/>
            <w:r>
              <w:t>Niacinamida</w:t>
            </w:r>
            <w:proofErr w:type="spellEnd"/>
          </w:p>
        </w:tc>
        <w:tc>
          <w:tcPr>
            <w:tcW w:w="1715" w:type="dxa"/>
          </w:tcPr>
          <w:p w:rsidR="00C11584" w:rsidRDefault="00C11584" w:rsidP="00794896">
            <w:pPr>
              <w:pStyle w:val="Textoindependiente"/>
            </w:pPr>
            <w:r>
              <w:t>2-4%</w:t>
            </w:r>
          </w:p>
        </w:tc>
      </w:tr>
      <w:tr w:rsidR="00C11584"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C11584" w:rsidRDefault="00C11584" w:rsidP="008D28C0">
            <w:pPr>
              <w:pStyle w:val="Textoindependiente"/>
            </w:pPr>
            <w:proofErr w:type="spellStart"/>
            <w:r>
              <w:t>Aceite</w:t>
            </w:r>
            <w:proofErr w:type="spellEnd"/>
            <w:r>
              <w:t xml:space="preserve"> de jojoba</w:t>
            </w:r>
          </w:p>
        </w:tc>
        <w:tc>
          <w:tcPr>
            <w:tcW w:w="1715" w:type="dxa"/>
          </w:tcPr>
          <w:p w:rsidR="00C11584" w:rsidRDefault="00C11584" w:rsidP="00794896">
            <w:pPr>
              <w:pStyle w:val="Textoindependiente"/>
            </w:pPr>
            <w:r>
              <w:t>4%</w:t>
            </w:r>
          </w:p>
        </w:tc>
      </w:tr>
      <w:tr w:rsidR="00C11584" w:rsidTr="008D28C0">
        <w:trPr>
          <w:jc w:val="center"/>
        </w:trPr>
        <w:tc>
          <w:tcPr>
            <w:tcW w:w="4489" w:type="dxa"/>
          </w:tcPr>
          <w:p w:rsidR="00C11584" w:rsidRDefault="00C11584" w:rsidP="008D28C0">
            <w:pPr>
              <w:pStyle w:val="Textoindependiente"/>
            </w:pPr>
            <w:r>
              <w:t xml:space="preserve">Agua </w:t>
            </w:r>
            <w:proofErr w:type="spellStart"/>
            <w:r>
              <w:t>conservada</w:t>
            </w:r>
            <w:proofErr w:type="spellEnd"/>
          </w:p>
        </w:tc>
        <w:tc>
          <w:tcPr>
            <w:tcW w:w="1715" w:type="dxa"/>
          </w:tcPr>
          <w:p w:rsidR="00C11584" w:rsidRDefault="00C11584" w:rsidP="00794896">
            <w:pPr>
              <w:pStyle w:val="Textoindependiente"/>
            </w:pPr>
            <w:r>
              <w:t>10 ml</w:t>
            </w:r>
          </w:p>
        </w:tc>
      </w:tr>
      <w:tr w:rsidR="00C11584"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C11584" w:rsidRDefault="00C11584" w:rsidP="008D28C0">
            <w:pPr>
              <w:pStyle w:val="Textoindependiente"/>
            </w:pPr>
            <w:r>
              <w:t xml:space="preserve">Crema Base no </w:t>
            </w:r>
            <w:proofErr w:type="spellStart"/>
            <w:r>
              <w:t>ionica</w:t>
            </w:r>
            <w:proofErr w:type="spellEnd"/>
            <w:r>
              <w:t xml:space="preserve"> </w:t>
            </w:r>
            <w:proofErr w:type="spellStart"/>
            <w:r>
              <w:t>csp</w:t>
            </w:r>
            <w:proofErr w:type="spellEnd"/>
          </w:p>
        </w:tc>
        <w:tc>
          <w:tcPr>
            <w:tcW w:w="1715" w:type="dxa"/>
          </w:tcPr>
          <w:p w:rsidR="00C11584" w:rsidRDefault="00C11584" w:rsidP="00C11584">
            <w:pPr>
              <w:pStyle w:val="Textoindependiente"/>
            </w:pPr>
            <w:r>
              <w:t>100%</w:t>
            </w:r>
          </w:p>
        </w:tc>
      </w:tr>
    </w:tbl>
    <w:p w:rsidR="00C11584" w:rsidRDefault="00C11584" w:rsidP="00C11584">
      <w:pPr>
        <w:pStyle w:val="Compact"/>
      </w:pPr>
      <w:r>
        <w:t>pH final: 5.5 – 6.0</w:t>
      </w:r>
    </w:p>
    <w:p w:rsidR="00C9243F" w:rsidRDefault="00C11584">
      <w:pPr>
        <w:pStyle w:val="FirstParagraph"/>
      </w:pPr>
      <w:proofErr w:type="spellStart"/>
      <w:r>
        <w:rPr>
          <w:b/>
          <w:bCs/>
        </w:rPr>
        <w:t>Fundamento</w:t>
      </w:r>
      <w:proofErr w:type="spellEnd"/>
      <w:r>
        <w:rPr>
          <w:b/>
          <w:bCs/>
        </w:rPr>
        <w:t xml:space="preserve"> </w:t>
      </w:r>
      <w:proofErr w:type="spellStart"/>
      <w:r>
        <w:rPr>
          <w:b/>
          <w:bCs/>
        </w:rPr>
        <w:t>galénico</w:t>
      </w:r>
      <w:proofErr w:type="spellEnd"/>
      <w:r w:rsidR="008D28C0">
        <w:t xml:space="preserve">: </w:t>
      </w:r>
      <w:proofErr w:type="spellStart"/>
      <w:r w:rsidR="008D28C0">
        <w:t>sinergia</w:t>
      </w:r>
      <w:proofErr w:type="spellEnd"/>
      <w:r w:rsidR="008D28C0">
        <w:t xml:space="preserve"> </w:t>
      </w:r>
      <w:proofErr w:type="spellStart"/>
      <w:r w:rsidR="008D28C0">
        <w:t>antiinflamatoria</w:t>
      </w:r>
      <w:proofErr w:type="spellEnd"/>
      <w:r w:rsidR="008D28C0">
        <w:t xml:space="preserve"> y seborreguladora descrita para zinc y </w:t>
      </w:r>
      <w:proofErr w:type="spellStart"/>
      <w:r w:rsidR="008D28C0">
        <w:t>niacinamida</w:t>
      </w:r>
      <w:proofErr w:type="spellEnd"/>
      <w:r w:rsidR="008D28C0">
        <w:t xml:space="preserve"> </w:t>
      </w:r>
      <w:proofErr w:type="spellStart"/>
      <w:r w:rsidR="008D28C0">
        <w:t>en</w:t>
      </w:r>
      <w:proofErr w:type="spellEnd"/>
      <w:r w:rsidR="008D28C0">
        <w:t xml:space="preserve"> </w:t>
      </w:r>
      <w:proofErr w:type="spellStart"/>
      <w:r w:rsidR="008D28C0">
        <w:t>literatura</w:t>
      </w:r>
      <w:proofErr w:type="spellEnd"/>
      <w:r w:rsidR="008D28C0">
        <w:t xml:space="preserve"> </w:t>
      </w:r>
      <w:proofErr w:type="spellStart"/>
      <w:r w:rsidR="008D28C0">
        <w:t>dermatológica</w:t>
      </w:r>
      <w:proofErr w:type="spellEnd"/>
      <w:r>
        <w:t>.</w:t>
      </w:r>
      <w:r w:rsidR="008D28C0">
        <w:t xml:space="preserve"> </w:t>
      </w:r>
      <w:proofErr w:type="spellStart"/>
      <w:r w:rsidR="008D28C0">
        <w:t>Podría</w:t>
      </w:r>
      <w:proofErr w:type="spellEnd"/>
      <w:r w:rsidR="008D28C0">
        <w:t xml:space="preserve"> </w:t>
      </w:r>
      <w:proofErr w:type="spellStart"/>
      <w:r w:rsidR="008D28C0">
        <w:t>usarse</w:t>
      </w:r>
      <w:proofErr w:type="spellEnd"/>
      <w:r w:rsidR="008D28C0">
        <w:t xml:space="preserve"> </w:t>
      </w:r>
      <w:proofErr w:type="spellStart"/>
      <w:r w:rsidR="008D28C0">
        <w:t>en</w:t>
      </w:r>
      <w:proofErr w:type="spellEnd"/>
      <w:r w:rsidR="008D28C0">
        <w:t xml:space="preserve"> </w:t>
      </w:r>
      <w:proofErr w:type="spellStart"/>
      <w:r w:rsidR="008D28C0">
        <w:t>lugar</w:t>
      </w:r>
      <w:proofErr w:type="spellEnd"/>
      <w:r w:rsidR="008D28C0">
        <w:t xml:space="preserve"> de crema </w:t>
      </w:r>
      <w:proofErr w:type="gramStart"/>
      <w:r w:rsidR="008D28C0">
        <w:t>base</w:t>
      </w:r>
      <w:proofErr w:type="gramEnd"/>
      <w:r w:rsidR="008D28C0">
        <w:t xml:space="preserve"> no </w:t>
      </w:r>
      <w:proofErr w:type="spellStart"/>
      <w:r w:rsidR="008D28C0">
        <w:t>ionica</w:t>
      </w:r>
      <w:proofErr w:type="spellEnd"/>
      <w:r w:rsidR="008D28C0">
        <w:t xml:space="preserve"> </w:t>
      </w:r>
      <w:proofErr w:type="spellStart"/>
      <w:r w:rsidR="008D28C0">
        <w:t>común</w:t>
      </w:r>
      <w:proofErr w:type="spellEnd"/>
      <w:r w:rsidR="008D28C0">
        <w:t xml:space="preserve"> una crema base </w:t>
      </w:r>
      <w:proofErr w:type="spellStart"/>
      <w:r w:rsidR="008D28C0">
        <w:t>glucídica</w:t>
      </w:r>
      <w:proofErr w:type="spellEnd"/>
      <w:r w:rsidR="008D28C0">
        <w:t xml:space="preserve"> de </w:t>
      </w:r>
      <w:proofErr w:type="spellStart"/>
      <w:r w:rsidR="008D28C0">
        <w:t>Montanov</w:t>
      </w:r>
      <w:proofErr w:type="spellEnd"/>
      <w:r w:rsidR="008D28C0">
        <w:t xml:space="preserve"> 68 ®.</w:t>
      </w:r>
      <w:r w:rsidR="0087156B">
        <w:t xml:space="preserve"> </w:t>
      </w:r>
      <w:proofErr w:type="spellStart"/>
      <w:r w:rsidR="0087156B">
        <w:t>Aceite</w:t>
      </w:r>
      <w:proofErr w:type="spellEnd"/>
      <w:r w:rsidR="0087156B">
        <w:t xml:space="preserve"> de jojoba (</w:t>
      </w:r>
      <w:proofErr w:type="spellStart"/>
      <w:r w:rsidR="0087156B">
        <w:t>éster</w:t>
      </w:r>
      <w:proofErr w:type="spellEnd"/>
      <w:r w:rsidR="0087156B">
        <w:t xml:space="preserve"> </w:t>
      </w:r>
      <w:proofErr w:type="spellStart"/>
      <w:r w:rsidR="0087156B">
        <w:t>ceroso</w:t>
      </w:r>
      <w:proofErr w:type="spellEnd"/>
      <w:r w:rsidR="0087156B">
        <w:t xml:space="preserve"> con </w:t>
      </w:r>
      <w:proofErr w:type="spellStart"/>
      <w:r w:rsidR="0087156B">
        <w:t>afinidad</w:t>
      </w:r>
      <w:proofErr w:type="spellEnd"/>
      <w:r w:rsidR="0087156B">
        <w:t xml:space="preserve"> al </w:t>
      </w:r>
      <w:proofErr w:type="spellStart"/>
      <w:r w:rsidR="0087156B">
        <w:t>sebo</w:t>
      </w:r>
      <w:proofErr w:type="spellEnd"/>
      <w:r w:rsidR="0087156B">
        <w:t xml:space="preserve"> </w:t>
      </w:r>
      <w:proofErr w:type="spellStart"/>
      <w:r w:rsidR="0087156B">
        <w:t>cutáneo</w:t>
      </w:r>
      <w:proofErr w:type="spellEnd"/>
      <w:r w:rsidR="0087156B">
        <w:t>)</w:t>
      </w:r>
      <w:r w:rsidR="0087156B">
        <w:t>.</w:t>
      </w:r>
    </w:p>
    <w:p w:rsidR="00C9243F" w:rsidRDefault="0087156B">
      <w:r>
        <w:pict>
          <v:rect id="_x0000_i1030" style="width:0;height:1.5pt" o:hralign="center" o:hrstd="t" o:hr="t"/>
        </w:pict>
      </w:r>
    </w:p>
    <w:p w:rsidR="00C9243F" w:rsidRDefault="008D28C0">
      <w:pPr>
        <w:pStyle w:val="Ttulo3"/>
      </w:pPr>
      <w:bookmarkStart w:id="11" w:name="X8a8f74482a2c31cbfd9e08226cdbf1c406cb150"/>
      <w:bookmarkEnd w:id="10"/>
      <w:r>
        <w:t xml:space="preserve">3. Loción </w:t>
      </w:r>
      <w:proofErr w:type="spellStart"/>
      <w:r>
        <w:t>acuosa</w:t>
      </w:r>
      <w:proofErr w:type="spellEnd"/>
      <w:r>
        <w:t xml:space="preserve"> para </w:t>
      </w:r>
      <w:proofErr w:type="spellStart"/>
      <w:r>
        <w:t>piel</w:t>
      </w:r>
      <w:proofErr w:type="spellEnd"/>
      <w:r>
        <w:t xml:space="preserve"> </w:t>
      </w:r>
      <w:proofErr w:type="spellStart"/>
      <w:r>
        <w:t>seborreica</w:t>
      </w:r>
      <w:proofErr w:type="spellEnd"/>
      <w:r>
        <w:t xml:space="preserve"> o </w:t>
      </w:r>
      <w:proofErr w:type="spellStart"/>
      <w:r>
        <w:t>cuero</w:t>
      </w:r>
      <w:proofErr w:type="spellEnd"/>
      <w:r>
        <w:t xml:space="preserve"> </w:t>
      </w:r>
      <w:proofErr w:type="spellStart"/>
      <w:r>
        <w:t>cabelludo</w:t>
      </w:r>
      <w:proofErr w:type="spellEnd"/>
    </w:p>
    <w:tbl>
      <w:tblPr>
        <w:tblStyle w:val="Tablaconcuadrcula2-nfasis4"/>
        <w:tblW w:w="0" w:type="auto"/>
        <w:jc w:val="center"/>
        <w:tblBorders>
          <w:top w:val="single" w:sz="4" w:space="0" w:color="auto"/>
          <w:left w:val="single" w:sz="4" w:space="0" w:color="auto"/>
          <w:bottom w:val="single" w:sz="4" w:space="0" w:color="auto"/>
          <w:right w:val="single" w:sz="4" w:space="0" w:color="auto"/>
        </w:tblBorders>
        <w:tblLook w:val="0400" w:firstRow="0" w:lastRow="0" w:firstColumn="0" w:lastColumn="0" w:noHBand="0" w:noVBand="1"/>
      </w:tblPr>
      <w:tblGrid>
        <w:gridCol w:w="4489"/>
        <w:gridCol w:w="1715"/>
      </w:tblGrid>
      <w:tr w:rsidR="00C11584"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C11584" w:rsidRDefault="00C11584" w:rsidP="00794896">
            <w:pPr>
              <w:pStyle w:val="Textoindependiente"/>
            </w:pPr>
            <w:proofErr w:type="spellStart"/>
            <w:r>
              <w:t>Gluconato</w:t>
            </w:r>
            <w:proofErr w:type="spellEnd"/>
            <w:r>
              <w:t xml:space="preserve"> de zinc</w:t>
            </w:r>
          </w:p>
        </w:tc>
        <w:tc>
          <w:tcPr>
            <w:tcW w:w="1715" w:type="dxa"/>
          </w:tcPr>
          <w:p w:rsidR="00C11584" w:rsidRDefault="00C11584" w:rsidP="00794896">
            <w:pPr>
              <w:pStyle w:val="Textoindependiente"/>
            </w:pPr>
            <w:r>
              <w:t>0.5 – 1 %</w:t>
            </w:r>
          </w:p>
        </w:tc>
      </w:tr>
      <w:tr w:rsidR="00C11584" w:rsidTr="008D28C0">
        <w:trPr>
          <w:jc w:val="center"/>
        </w:trPr>
        <w:tc>
          <w:tcPr>
            <w:tcW w:w="4489" w:type="dxa"/>
          </w:tcPr>
          <w:p w:rsidR="00C11584" w:rsidRDefault="00C11584" w:rsidP="00794896">
            <w:pPr>
              <w:pStyle w:val="Textoindependiente"/>
            </w:pPr>
            <w:proofErr w:type="spellStart"/>
            <w:r>
              <w:t>Glicerina</w:t>
            </w:r>
            <w:proofErr w:type="spellEnd"/>
            <w:r>
              <w:t xml:space="preserve"> </w:t>
            </w:r>
          </w:p>
        </w:tc>
        <w:tc>
          <w:tcPr>
            <w:tcW w:w="1715" w:type="dxa"/>
          </w:tcPr>
          <w:p w:rsidR="00C11584" w:rsidRDefault="00C11584" w:rsidP="00794896">
            <w:pPr>
              <w:pStyle w:val="Textoindependiente"/>
            </w:pPr>
            <w:r>
              <w:t>2%</w:t>
            </w:r>
          </w:p>
        </w:tc>
      </w:tr>
      <w:tr w:rsidR="00C11584" w:rsidTr="008D28C0">
        <w:trPr>
          <w:cnfStyle w:val="000000100000" w:firstRow="0" w:lastRow="0" w:firstColumn="0" w:lastColumn="0" w:oddVBand="0" w:evenVBand="0" w:oddHBand="1" w:evenHBand="0" w:firstRowFirstColumn="0" w:firstRowLastColumn="0" w:lastRowFirstColumn="0" w:lastRowLastColumn="0"/>
          <w:jc w:val="center"/>
        </w:trPr>
        <w:tc>
          <w:tcPr>
            <w:tcW w:w="4489" w:type="dxa"/>
          </w:tcPr>
          <w:p w:rsidR="00C11584" w:rsidRDefault="00C11584" w:rsidP="00794896">
            <w:pPr>
              <w:pStyle w:val="Textoindependiente"/>
            </w:pPr>
            <w:proofErr w:type="spellStart"/>
            <w:r>
              <w:t>Extracto</w:t>
            </w:r>
            <w:proofErr w:type="spellEnd"/>
            <w:r>
              <w:t xml:space="preserve"> </w:t>
            </w:r>
            <w:proofErr w:type="spellStart"/>
            <w:r>
              <w:t>glicólico</w:t>
            </w:r>
            <w:proofErr w:type="spellEnd"/>
            <w:r>
              <w:t xml:space="preserve"> de </w:t>
            </w:r>
            <w:proofErr w:type="spellStart"/>
            <w:r>
              <w:t>Hamamelis</w:t>
            </w:r>
            <w:proofErr w:type="spellEnd"/>
            <w:r>
              <w:t xml:space="preserve"> o </w:t>
            </w:r>
            <w:proofErr w:type="spellStart"/>
            <w:r>
              <w:t>Té</w:t>
            </w:r>
            <w:proofErr w:type="spellEnd"/>
            <w:r>
              <w:t xml:space="preserve"> Verde</w:t>
            </w:r>
          </w:p>
        </w:tc>
        <w:tc>
          <w:tcPr>
            <w:tcW w:w="1715" w:type="dxa"/>
          </w:tcPr>
          <w:p w:rsidR="00C11584" w:rsidRDefault="00C11584" w:rsidP="00794896">
            <w:pPr>
              <w:pStyle w:val="Textoindependiente"/>
            </w:pPr>
            <w:r>
              <w:t>5%</w:t>
            </w:r>
          </w:p>
        </w:tc>
      </w:tr>
      <w:tr w:rsidR="00C11584" w:rsidTr="008D28C0">
        <w:trPr>
          <w:jc w:val="center"/>
        </w:trPr>
        <w:tc>
          <w:tcPr>
            <w:tcW w:w="4489" w:type="dxa"/>
          </w:tcPr>
          <w:p w:rsidR="00C11584" w:rsidRDefault="00C11584" w:rsidP="00794896">
            <w:pPr>
              <w:pStyle w:val="Textoindependiente"/>
            </w:pPr>
            <w:r>
              <w:t xml:space="preserve">Agua </w:t>
            </w:r>
            <w:proofErr w:type="spellStart"/>
            <w:r>
              <w:t>conservada</w:t>
            </w:r>
            <w:proofErr w:type="spellEnd"/>
            <w:r>
              <w:t xml:space="preserve"> </w:t>
            </w:r>
            <w:proofErr w:type="spellStart"/>
            <w:r>
              <w:t>csp</w:t>
            </w:r>
            <w:proofErr w:type="spellEnd"/>
          </w:p>
        </w:tc>
        <w:tc>
          <w:tcPr>
            <w:tcW w:w="1715" w:type="dxa"/>
          </w:tcPr>
          <w:p w:rsidR="00C11584" w:rsidRDefault="00C11584" w:rsidP="00794896">
            <w:pPr>
              <w:pStyle w:val="Textoindependiente"/>
            </w:pPr>
            <w:r>
              <w:t>100%</w:t>
            </w:r>
          </w:p>
        </w:tc>
      </w:tr>
    </w:tbl>
    <w:p w:rsidR="00C9243F" w:rsidRDefault="00365CB0">
      <w:pPr>
        <w:pStyle w:val="FirstParagraph"/>
      </w:pPr>
      <w:proofErr w:type="spellStart"/>
      <w:r>
        <w:rPr>
          <w:b/>
          <w:bCs/>
        </w:rPr>
        <w:lastRenderedPageBreak/>
        <w:t>Fundamento</w:t>
      </w:r>
      <w:proofErr w:type="spellEnd"/>
      <w:r>
        <w:rPr>
          <w:b/>
          <w:bCs/>
        </w:rPr>
        <w:t xml:space="preserve"> </w:t>
      </w:r>
      <w:proofErr w:type="spellStart"/>
      <w:r>
        <w:rPr>
          <w:b/>
          <w:bCs/>
        </w:rPr>
        <w:t>galénico</w:t>
      </w:r>
      <w:proofErr w:type="spellEnd"/>
      <w:r w:rsidR="008D28C0">
        <w:t xml:space="preserve">: forma </w:t>
      </w:r>
      <w:proofErr w:type="spellStart"/>
      <w:r w:rsidR="008D28C0">
        <w:t>farmacéutica</w:t>
      </w:r>
      <w:proofErr w:type="spellEnd"/>
      <w:r w:rsidR="008D28C0">
        <w:t xml:space="preserve"> simple, </w:t>
      </w:r>
      <w:proofErr w:type="spellStart"/>
      <w:r w:rsidR="008D28C0">
        <w:t>basada</w:t>
      </w:r>
      <w:proofErr w:type="spellEnd"/>
      <w:r w:rsidR="008D28C0">
        <w:t xml:space="preserve"> </w:t>
      </w:r>
      <w:proofErr w:type="spellStart"/>
      <w:r w:rsidR="008D28C0">
        <w:t>en</w:t>
      </w:r>
      <w:proofErr w:type="spellEnd"/>
      <w:r w:rsidR="008D28C0">
        <w:t xml:space="preserve"> la </w:t>
      </w:r>
      <w:proofErr w:type="spellStart"/>
      <w:r w:rsidR="008D28C0">
        <w:t>solubilidad</w:t>
      </w:r>
      <w:proofErr w:type="spellEnd"/>
      <w:r w:rsidR="008D28C0">
        <w:t xml:space="preserve"> del </w:t>
      </w:r>
      <w:proofErr w:type="spellStart"/>
      <w:r w:rsidR="008D28C0">
        <w:t>gluconato</w:t>
      </w:r>
      <w:proofErr w:type="spellEnd"/>
      <w:r>
        <w:t xml:space="preserve">. </w:t>
      </w:r>
      <w:bookmarkStart w:id="12" w:name="_GoBack"/>
      <w:bookmarkEnd w:id="12"/>
      <w:proofErr w:type="spellStart"/>
      <w:r>
        <w:t>Permite</w:t>
      </w:r>
      <w:proofErr w:type="spellEnd"/>
      <w:r>
        <w:t xml:space="preserve"> la </w:t>
      </w:r>
      <w:proofErr w:type="spellStart"/>
      <w:r>
        <w:t>incorporacion</w:t>
      </w:r>
      <w:proofErr w:type="spellEnd"/>
      <w:r>
        <w:t xml:space="preserve"> de un </w:t>
      </w:r>
      <w:proofErr w:type="spellStart"/>
      <w:r>
        <w:t>extracto</w:t>
      </w:r>
      <w:proofErr w:type="spellEnd"/>
      <w:r>
        <w:t xml:space="preserve"> soluble </w:t>
      </w:r>
      <w:proofErr w:type="spellStart"/>
      <w:r>
        <w:t>en</w:t>
      </w:r>
      <w:proofErr w:type="spellEnd"/>
      <w:r>
        <w:t xml:space="preserve"> </w:t>
      </w:r>
      <w:proofErr w:type="spellStart"/>
      <w:r>
        <w:t>fase</w:t>
      </w:r>
      <w:proofErr w:type="spellEnd"/>
      <w:r>
        <w:t xml:space="preserve"> </w:t>
      </w:r>
      <w:proofErr w:type="spellStart"/>
      <w:r>
        <w:t>acuosa</w:t>
      </w:r>
      <w:proofErr w:type="spellEnd"/>
      <w:r>
        <w:t xml:space="preserve"> que </w:t>
      </w:r>
      <w:proofErr w:type="spellStart"/>
      <w:r>
        <w:t>potencie</w:t>
      </w:r>
      <w:proofErr w:type="spellEnd"/>
      <w:r>
        <w:t xml:space="preserve"> el </w:t>
      </w:r>
      <w:proofErr w:type="spellStart"/>
      <w:r>
        <w:t>efecto</w:t>
      </w:r>
      <w:proofErr w:type="spellEnd"/>
      <w:r>
        <w:t xml:space="preserve"> </w:t>
      </w:r>
      <w:proofErr w:type="spellStart"/>
      <w:r>
        <w:t>seborregulador</w:t>
      </w:r>
      <w:proofErr w:type="spellEnd"/>
      <w:r>
        <w:t>.</w:t>
      </w:r>
      <w:r w:rsidR="0087156B">
        <w:t xml:space="preserve"> </w:t>
      </w:r>
      <w:proofErr w:type="spellStart"/>
      <w:r w:rsidR="0087156B">
        <w:t>Indicada</w:t>
      </w:r>
      <w:proofErr w:type="spellEnd"/>
      <w:r w:rsidR="0087156B">
        <w:t xml:space="preserve"> para zonas </w:t>
      </w:r>
      <w:proofErr w:type="spellStart"/>
      <w:r w:rsidR="0087156B">
        <w:t>pilosas</w:t>
      </w:r>
      <w:proofErr w:type="spellEnd"/>
      <w:r w:rsidR="0087156B">
        <w:t xml:space="preserve"> o </w:t>
      </w:r>
      <w:proofErr w:type="spellStart"/>
      <w:r w:rsidR="0087156B">
        <w:t>piel</w:t>
      </w:r>
      <w:proofErr w:type="spellEnd"/>
      <w:r w:rsidR="0087156B">
        <w:t xml:space="preserve"> con </w:t>
      </w:r>
      <w:proofErr w:type="spellStart"/>
      <w:r w:rsidR="0087156B">
        <w:t>intolerancia</w:t>
      </w:r>
      <w:proofErr w:type="spellEnd"/>
      <w:r w:rsidR="0087156B">
        <w:t xml:space="preserve"> </w:t>
      </w:r>
      <w:proofErr w:type="gramStart"/>
      <w:r w:rsidR="0087156B">
        <w:t>a</w:t>
      </w:r>
      <w:proofErr w:type="gramEnd"/>
      <w:r w:rsidR="0087156B">
        <w:t xml:space="preserve"> </w:t>
      </w:r>
      <w:proofErr w:type="spellStart"/>
      <w:r w:rsidR="0087156B">
        <w:t>emulsiones</w:t>
      </w:r>
      <w:proofErr w:type="spellEnd"/>
      <w:r w:rsidR="0087156B">
        <w:t>.</w:t>
      </w:r>
    </w:p>
    <w:p w:rsidR="0087156B" w:rsidRDefault="0087156B" w:rsidP="0087156B">
      <w:pPr>
        <w:pStyle w:val="Textoindependiente"/>
      </w:pPr>
    </w:p>
    <w:p w:rsidR="0087156B" w:rsidRDefault="0087156B" w:rsidP="0087156B">
      <w:pPr>
        <w:pStyle w:val="Textoindependiente"/>
      </w:pPr>
    </w:p>
    <w:p w:rsidR="0087156B" w:rsidRPr="0087156B" w:rsidRDefault="0087156B" w:rsidP="0087156B">
      <w:pPr>
        <w:pStyle w:val="Textoindependiente"/>
      </w:pPr>
    </w:p>
    <w:p w:rsidR="00365CB0" w:rsidRPr="00365CB0" w:rsidRDefault="00365CB0" w:rsidP="00365CB0">
      <w:pPr>
        <w:pStyle w:val="Textoindependiente"/>
      </w:pPr>
      <w:proofErr w:type="spellStart"/>
      <w:r>
        <w:t>Farmacéutica</w:t>
      </w:r>
      <w:proofErr w:type="spellEnd"/>
      <w:r>
        <w:t xml:space="preserve"> Gabriela </w:t>
      </w:r>
      <w:proofErr w:type="spellStart"/>
      <w:r>
        <w:t>Tancreda</w:t>
      </w:r>
      <w:proofErr w:type="spellEnd"/>
      <w:r>
        <w:t xml:space="preserve"> para </w:t>
      </w:r>
      <w:r w:rsidRPr="00365CB0">
        <w:rPr>
          <w:lang w:val="es-AR"/>
        </w:rPr>
        <w:t>Hágase</w:t>
      </w:r>
      <w:r>
        <w:t xml:space="preserve"> </w:t>
      </w:r>
      <w:proofErr w:type="spellStart"/>
      <w:r>
        <w:t>Según</w:t>
      </w:r>
      <w:proofErr w:type="spellEnd"/>
      <w:r>
        <w:t xml:space="preserve"> </w:t>
      </w:r>
      <w:proofErr w:type="spellStart"/>
      <w:r>
        <w:t>Arte</w:t>
      </w:r>
      <w:proofErr w:type="spellEnd"/>
    </w:p>
    <w:p w:rsidR="00C9243F" w:rsidRDefault="0087156B">
      <w:r>
        <w:pict>
          <v:rect id="_x0000_i1031" style="width:0;height:1.5pt" o:hralign="center" o:hrstd="t" o:hr="t"/>
        </w:pict>
      </w:r>
    </w:p>
    <w:p w:rsidR="00C9243F" w:rsidRDefault="008D28C0">
      <w:pPr>
        <w:pStyle w:val="Ttulo2"/>
      </w:pPr>
      <w:bookmarkStart w:id="13" w:name="referencias-bibliográficas"/>
      <w:bookmarkEnd w:id="8"/>
      <w:bookmarkEnd w:id="11"/>
      <w:proofErr w:type="spellStart"/>
      <w:r>
        <w:t>Referencias</w:t>
      </w:r>
      <w:proofErr w:type="spellEnd"/>
      <w:r>
        <w:t xml:space="preserve"> </w:t>
      </w:r>
      <w:proofErr w:type="spellStart"/>
      <w:r>
        <w:t>bibliográficas</w:t>
      </w:r>
      <w:proofErr w:type="spellEnd"/>
    </w:p>
    <w:p w:rsidR="00C9243F" w:rsidRDefault="008D28C0">
      <w:pPr>
        <w:pStyle w:val="Compact"/>
        <w:numPr>
          <w:ilvl w:val="0"/>
          <w:numId w:val="9"/>
        </w:numPr>
      </w:pPr>
      <w:r>
        <w:t xml:space="preserve">Dreno B et al. Zinc gluconate as a monotherapy in inflammatory acne. </w:t>
      </w:r>
      <w:r>
        <w:rPr>
          <w:i/>
          <w:iCs/>
        </w:rPr>
        <w:t>European Journal of Dermatology</w:t>
      </w:r>
      <w:r>
        <w:t>. 2001;11(2):118‑122.</w:t>
      </w:r>
    </w:p>
    <w:p w:rsidR="00C9243F" w:rsidRDefault="008D28C0">
      <w:pPr>
        <w:pStyle w:val="Compact"/>
        <w:numPr>
          <w:ilvl w:val="0"/>
          <w:numId w:val="9"/>
        </w:numPr>
      </w:pPr>
      <w:r>
        <w:t xml:space="preserve">Rosen T. Topical zinc therapy in dermatology: a review. </w:t>
      </w:r>
      <w:r>
        <w:rPr>
          <w:i/>
          <w:iCs/>
        </w:rPr>
        <w:t>Dermatologic Clinics</w:t>
      </w:r>
      <w:r>
        <w:t>. 2006;24(1):115‑118.</w:t>
      </w:r>
    </w:p>
    <w:p w:rsidR="00C9243F" w:rsidRDefault="008D28C0">
      <w:pPr>
        <w:pStyle w:val="Compact"/>
        <w:numPr>
          <w:ilvl w:val="0"/>
          <w:numId w:val="9"/>
        </w:numPr>
      </w:pPr>
      <w:r>
        <w:t xml:space="preserve">Bowe WP, Logan AC. Acne vulgaris: the role of oxidative stress and antioxidants. </w:t>
      </w:r>
      <w:r>
        <w:rPr>
          <w:i/>
          <w:iCs/>
        </w:rPr>
        <w:t>Journal of Clinical and Aesthetic Dermatology</w:t>
      </w:r>
      <w:r>
        <w:t>. 2010.</w:t>
      </w:r>
    </w:p>
    <w:p w:rsidR="00C9243F" w:rsidRDefault="008D28C0">
      <w:pPr>
        <w:pStyle w:val="Compact"/>
        <w:numPr>
          <w:ilvl w:val="0"/>
          <w:numId w:val="9"/>
        </w:numPr>
      </w:pPr>
      <w:r>
        <w:t xml:space="preserve">Nguyen J et al. Zinc and skin health: overview of physiology and dermatologic applications. </w:t>
      </w:r>
      <w:r>
        <w:rPr>
          <w:i/>
          <w:iCs/>
        </w:rPr>
        <w:t>Dermatology Nursing</w:t>
      </w:r>
      <w:r>
        <w:t>. 2004;16(3):305‑310.</w:t>
      </w:r>
    </w:p>
    <w:p w:rsidR="00C9243F" w:rsidRDefault="008D28C0">
      <w:pPr>
        <w:pStyle w:val="Compact"/>
        <w:numPr>
          <w:ilvl w:val="0"/>
          <w:numId w:val="9"/>
        </w:numPr>
      </w:pPr>
      <w:r>
        <w:t xml:space="preserve">Gupta M et al. The clinical effects of zinc as a topical or oral agent in dermatology. </w:t>
      </w:r>
      <w:r>
        <w:rPr>
          <w:i/>
          <w:iCs/>
        </w:rPr>
        <w:t>Journal of Drugs in Dermatology</w:t>
      </w:r>
      <w:r>
        <w:t>. 2014.</w:t>
      </w:r>
    </w:p>
    <w:p w:rsidR="00C9243F" w:rsidRDefault="008D28C0">
      <w:pPr>
        <w:pStyle w:val="Compact"/>
        <w:numPr>
          <w:ilvl w:val="0"/>
          <w:numId w:val="9"/>
        </w:numPr>
      </w:pPr>
      <w:r>
        <w:t>United States Pharmacopeia (USP–NF). Zinc Gluconate Monograph.</w:t>
      </w:r>
    </w:p>
    <w:p w:rsidR="00C9243F" w:rsidRDefault="008D28C0">
      <w:pPr>
        <w:pStyle w:val="Compact"/>
        <w:numPr>
          <w:ilvl w:val="0"/>
          <w:numId w:val="9"/>
        </w:numPr>
      </w:pPr>
      <w:r>
        <w:t>European Pharmacopoeia. Zinc salts: general monographs.</w:t>
      </w:r>
    </w:p>
    <w:p w:rsidR="00C9243F" w:rsidRDefault="008D28C0">
      <w:pPr>
        <w:pStyle w:val="Compact"/>
        <w:numPr>
          <w:ilvl w:val="0"/>
          <w:numId w:val="9"/>
        </w:numPr>
      </w:pPr>
      <w:r>
        <w:t xml:space="preserve">Borgers M, Degreef H. Zinc compounds in seborrheic dermatitis. </w:t>
      </w:r>
      <w:r>
        <w:rPr>
          <w:i/>
          <w:iCs/>
        </w:rPr>
        <w:t>Journal of Investigative Dermatology Symposium Proceedings</w:t>
      </w:r>
      <w:r>
        <w:t>. 2007.</w:t>
      </w:r>
      <w:bookmarkEnd w:id="0"/>
      <w:bookmarkEnd w:id="13"/>
    </w:p>
    <w:sectPr w:rsidR="00C9243F">
      <w:footnotePr>
        <w:numRestart w:val="eachSect"/>
      </w:footnotePr>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A990"/>
    <w:multiLevelType w:val="multilevel"/>
    <w:tmpl w:val="F8F8054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27CD78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C696F89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C9243F"/>
    <w:rsid w:val="00365CB0"/>
    <w:rsid w:val="0087156B"/>
    <w:rsid w:val="008D28C0"/>
    <w:rsid w:val="009C4992"/>
    <w:rsid w:val="00C11584"/>
    <w:rsid w:val="00C92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41152"/>
  <w15:docId w15:val="{4ACE3352-36E4-4F3D-A53C-D6407351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Textoindependiente"/>
    <w:link w:val="Ttulo2C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Textoindependiente"/>
    <w:link w:val="Ttulo3C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10FD9"/>
    <w:rPr>
      <w:rFonts w:asciiTheme="majorHAnsi" w:eastAsiaTheme="majorEastAsia" w:hAnsiTheme="majorHAnsi" w:cstheme="majorBidi"/>
      <w:spacing w:val="-10"/>
      <w:kern w:val="28"/>
      <w:sz w:val="56"/>
      <w:szCs w:val="56"/>
    </w:rPr>
  </w:style>
  <w:style w:type="paragraph" w:styleId="Subttulo">
    <w:name w:val="Subtitle"/>
    <w:basedOn w:val="Ttulo"/>
    <w:next w:val="Textoindependiente"/>
    <w:link w:val="SubttuloCar"/>
    <w:uiPriority w:val="11"/>
    <w:qFormat/>
    <w:rsid w:val="00A10FD9"/>
    <w:pPr>
      <w:numPr>
        <w:ilvl w:val="1"/>
      </w:numPr>
    </w:pPr>
    <w:rPr>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10FD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rPr>
      <w:color w:val="156082" w:themeColor="accent1"/>
    </w:rPr>
  </w:style>
  <w:style w:type="paragraph" w:styleId="TtuloTDC">
    <w:name w:val="TOC Heading"/>
    <w:basedOn w:val="Ttulo1"/>
    <w:next w:val="Textoindependiente"/>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Tablaconcuadrcula">
    <w:name w:val="Table Grid"/>
    <w:basedOn w:val="Tablanormal"/>
    <w:rsid w:val="009C499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2-nfasis4">
    <w:name w:val="Grid Table 2 Accent 4"/>
    <w:basedOn w:val="Tablanormal"/>
    <w:uiPriority w:val="47"/>
    <w:rsid w:val="009C4992"/>
    <w:pPr>
      <w:spacing w:after="0"/>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Tablaconcuadrcula2-nfasis5">
    <w:name w:val="Grid Table 2 Accent 5"/>
    <w:basedOn w:val="Tablanormal"/>
    <w:uiPriority w:val="47"/>
    <w:rsid w:val="00C11584"/>
    <w:pPr>
      <w:spacing w:after="0"/>
    </w:p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Tablanormal5">
    <w:name w:val="Plain Table 5"/>
    <w:basedOn w:val="Tablanormal"/>
    <w:rsid w:val="0087156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357712">
      <w:bodyDiv w:val="1"/>
      <w:marLeft w:val="0"/>
      <w:marRight w:val="0"/>
      <w:marTop w:val="0"/>
      <w:marBottom w:val="0"/>
      <w:divBdr>
        <w:top w:val="none" w:sz="0" w:space="0" w:color="auto"/>
        <w:left w:val="none" w:sz="0" w:space="0" w:color="auto"/>
        <w:bottom w:val="none" w:sz="0" w:space="0" w:color="auto"/>
        <w:right w:val="none" w:sz="0" w:space="0" w:color="auto"/>
      </w:divBdr>
    </w:div>
    <w:div w:id="17369700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856</Words>
  <Characters>4708</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GabrielaFT</cp:lastModifiedBy>
  <cp:revision>4</cp:revision>
  <dcterms:created xsi:type="dcterms:W3CDTF">2025-12-19T03:11:00Z</dcterms:created>
  <dcterms:modified xsi:type="dcterms:W3CDTF">2025-12-19T04:04:00Z</dcterms:modified>
</cp:coreProperties>
</file>